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5FE4" w14:textId="77777777" w:rsidR="00B335C5" w:rsidRDefault="00B335C5">
      <w:pPr>
        <w:rPr>
          <w:rFonts w:ascii="Yu Gothic" w:eastAsia="Yu Gothic" w:hAnsi="Yu Gothic"/>
        </w:rPr>
      </w:pPr>
    </w:p>
    <w:p w14:paraId="74042AB9" w14:textId="6ED0BA71" w:rsidR="00D63A65" w:rsidRPr="00A96953" w:rsidRDefault="002D5EF7">
      <w:pPr>
        <w:rPr>
          <w:rFonts w:ascii="Yu Gothic" w:eastAsia="Yu Gothic" w:hAnsi="Yu Gothic"/>
        </w:rPr>
      </w:pPr>
      <w:r>
        <w:rPr>
          <w:rFonts w:ascii="Yu Gothic" w:eastAsia="Yu Gothic" w:hAnsi="Yu Gothic"/>
        </w:rPr>
        <w:t>June 3</w:t>
      </w:r>
      <w:r w:rsidR="00447A0E" w:rsidRPr="00A96953">
        <w:rPr>
          <w:rFonts w:ascii="Yu Gothic" w:eastAsia="Yu Gothic" w:hAnsi="Yu Gothic"/>
        </w:rPr>
        <w:t>, 2022</w:t>
      </w:r>
    </w:p>
    <w:p w14:paraId="48E54AAA" w14:textId="36675456" w:rsidR="00447A0E" w:rsidRPr="00A96953" w:rsidRDefault="00447A0E" w:rsidP="00447A0E">
      <w:pPr>
        <w:contextualSpacing/>
        <w:rPr>
          <w:rFonts w:ascii="Yu Gothic" w:eastAsia="Yu Gothic" w:hAnsi="Yu Gothic"/>
        </w:rPr>
      </w:pPr>
      <w:r w:rsidRPr="00A96953">
        <w:rPr>
          <w:rFonts w:ascii="Yu Gothic" w:eastAsia="Yu Gothic" w:hAnsi="Yu Gothic"/>
        </w:rPr>
        <w:t>Lisa A. Skumatz, Ph.D.</w:t>
      </w:r>
    </w:p>
    <w:p w14:paraId="1F6E4496" w14:textId="77777777" w:rsidR="00447A0E" w:rsidRPr="00A96953" w:rsidRDefault="00447A0E" w:rsidP="00447A0E">
      <w:pPr>
        <w:contextualSpacing/>
        <w:rPr>
          <w:rFonts w:ascii="Yu Gothic" w:eastAsia="Yu Gothic" w:hAnsi="Yu Gothic"/>
        </w:rPr>
      </w:pPr>
      <w:r w:rsidRPr="00A96953">
        <w:rPr>
          <w:rFonts w:ascii="Yu Gothic" w:eastAsia="Yu Gothic" w:hAnsi="Yu Gothic"/>
        </w:rPr>
        <w:t>Skumatz Economic Research Associates (SERA)</w:t>
      </w:r>
    </w:p>
    <w:p w14:paraId="6449E663" w14:textId="77777777" w:rsidR="00447A0E" w:rsidRPr="00A96953" w:rsidRDefault="00447A0E" w:rsidP="00447A0E">
      <w:pPr>
        <w:contextualSpacing/>
        <w:rPr>
          <w:rFonts w:ascii="Yu Gothic" w:eastAsia="Yu Gothic" w:hAnsi="Yu Gothic"/>
        </w:rPr>
      </w:pPr>
      <w:r w:rsidRPr="00A96953">
        <w:rPr>
          <w:rFonts w:ascii="Yu Gothic" w:eastAsia="Yu Gothic" w:hAnsi="Yu Gothic"/>
        </w:rPr>
        <w:t>762 Eldorado Drive</w:t>
      </w:r>
    </w:p>
    <w:p w14:paraId="02185124" w14:textId="0AC09CE4" w:rsidR="00447A0E" w:rsidRPr="00A96953" w:rsidRDefault="00447A0E" w:rsidP="00447A0E">
      <w:pPr>
        <w:contextualSpacing/>
        <w:rPr>
          <w:rFonts w:ascii="Yu Gothic" w:eastAsia="Yu Gothic" w:hAnsi="Yu Gothic"/>
        </w:rPr>
      </w:pPr>
      <w:r w:rsidRPr="00A96953">
        <w:rPr>
          <w:rFonts w:ascii="Yu Gothic" w:eastAsia="Yu Gothic" w:hAnsi="Yu Gothic"/>
        </w:rPr>
        <w:t>Superior, CO 80027</w:t>
      </w:r>
    </w:p>
    <w:p w14:paraId="1A4F95B2" w14:textId="77777777" w:rsidR="00447A0E" w:rsidRPr="00A96953" w:rsidRDefault="00447A0E" w:rsidP="00447A0E">
      <w:pPr>
        <w:contextualSpacing/>
        <w:rPr>
          <w:rFonts w:ascii="Yu Gothic" w:eastAsia="Yu Gothic" w:hAnsi="Yu Gothic"/>
        </w:rPr>
      </w:pPr>
    </w:p>
    <w:p w14:paraId="5E5AE1F3" w14:textId="40277D26" w:rsidR="00447A0E" w:rsidRPr="00A96953" w:rsidRDefault="00447A0E" w:rsidP="00447A0E">
      <w:pPr>
        <w:contextualSpacing/>
        <w:rPr>
          <w:rFonts w:ascii="Yu Gothic" w:eastAsia="Yu Gothic" w:hAnsi="Yu Gothic"/>
        </w:rPr>
      </w:pPr>
      <w:r w:rsidRPr="00A96953">
        <w:rPr>
          <w:rFonts w:ascii="Yu Gothic" w:eastAsia="Yu Gothic" w:hAnsi="Yu Gothic"/>
        </w:rPr>
        <w:t xml:space="preserve">RE: CT </w:t>
      </w:r>
      <w:r w:rsidR="002D5EF7">
        <w:rPr>
          <w:rFonts w:ascii="Yu Gothic" w:eastAsia="Yu Gothic" w:hAnsi="Yu Gothic"/>
        </w:rPr>
        <w:t xml:space="preserve">C2014 </w:t>
      </w:r>
      <w:r w:rsidR="002D5EF7" w:rsidRPr="002D5EF7">
        <w:rPr>
          <w:rFonts w:ascii="Yu Gothic" w:eastAsia="Yu Gothic" w:hAnsi="Yu Gothic"/>
        </w:rPr>
        <w:t>C&amp;I Lighting Saturation and Remaining Potential Study</w:t>
      </w:r>
      <w:r w:rsidR="002D5EF7">
        <w:rPr>
          <w:rFonts w:ascii="Yu Gothic" w:eastAsia="Yu Gothic" w:hAnsi="Yu Gothic"/>
        </w:rPr>
        <w:t xml:space="preserve"> Draft Memo</w:t>
      </w:r>
      <w:r w:rsidRPr="00A96953">
        <w:rPr>
          <w:rFonts w:ascii="Yu Gothic" w:eastAsia="Yu Gothic" w:hAnsi="Yu Gothic"/>
        </w:rPr>
        <w:br/>
      </w:r>
    </w:p>
    <w:p w14:paraId="5B1D2825" w14:textId="77777777" w:rsidR="00447A0E" w:rsidRPr="00A96953" w:rsidRDefault="00447A0E" w:rsidP="00447A0E">
      <w:pPr>
        <w:contextualSpacing/>
        <w:rPr>
          <w:rFonts w:ascii="Yu Gothic" w:eastAsia="Yu Gothic" w:hAnsi="Yu Gothic"/>
        </w:rPr>
      </w:pPr>
      <w:r w:rsidRPr="00A96953">
        <w:rPr>
          <w:rFonts w:ascii="Yu Gothic" w:eastAsia="Yu Gothic" w:hAnsi="Yu Gothic"/>
        </w:rPr>
        <w:t>Dear Dr. Skumatz,</w:t>
      </w:r>
    </w:p>
    <w:p w14:paraId="1489D0D2" w14:textId="77777777" w:rsidR="00447A0E" w:rsidRPr="00A96953" w:rsidRDefault="00447A0E" w:rsidP="00447A0E">
      <w:pPr>
        <w:contextualSpacing/>
        <w:rPr>
          <w:rFonts w:ascii="Yu Gothic" w:eastAsia="Yu Gothic" w:hAnsi="Yu Gothic"/>
        </w:rPr>
      </w:pPr>
    </w:p>
    <w:p w14:paraId="649DAEB6" w14:textId="220174F9" w:rsidR="00447A0E" w:rsidRDefault="00447A0E" w:rsidP="00447A0E">
      <w:pPr>
        <w:contextualSpacing/>
        <w:rPr>
          <w:rFonts w:ascii="Yu Gothic" w:eastAsia="Yu Gothic" w:hAnsi="Yu Gothic"/>
        </w:rPr>
      </w:pPr>
      <w:r w:rsidRPr="00A96953">
        <w:rPr>
          <w:rFonts w:ascii="Yu Gothic" w:eastAsia="Yu Gothic" w:hAnsi="Yu Gothic"/>
        </w:rPr>
        <w:t>Eversource Energy (“Eversource”) is pleased to submit these written comments regarding the draft memo for the</w:t>
      </w:r>
      <w:r w:rsidR="00F25B36" w:rsidRPr="00A96953">
        <w:rPr>
          <w:rFonts w:ascii="Yu Gothic" w:eastAsia="Yu Gothic" w:hAnsi="Yu Gothic"/>
        </w:rPr>
        <w:t xml:space="preserve"> </w:t>
      </w:r>
      <w:r w:rsidR="002D5EF7" w:rsidRPr="002D5EF7">
        <w:rPr>
          <w:rFonts w:ascii="Yu Gothic" w:eastAsia="Yu Gothic" w:hAnsi="Yu Gothic"/>
          <w:i/>
          <w:iCs/>
        </w:rPr>
        <w:t>CT C2014 C&amp;I Lighting Saturation and Remaining Potential Study</w:t>
      </w:r>
      <w:r w:rsidR="002D5EF7">
        <w:rPr>
          <w:rFonts w:ascii="Yu Gothic" w:eastAsia="Yu Gothic" w:hAnsi="Yu Gothic"/>
        </w:rPr>
        <w:t xml:space="preserve"> (“Draft Memo”) shared </w:t>
      </w:r>
      <w:r w:rsidR="008357C2">
        <w:rPr>
          <w:rFonts w:ascii="Yu Gothic" w:eastAsia="Yu Gothic" w:hAnsi="Yu Gothic"/>
        </w:rPr>
        <w:t xml:space="preserve">May 27, 2022, by DNV (“Evaluator”). </w:t>
      </w:r>
      <w:r w:rsidR="00F25B36" w:rsidRPr="00A96953">
        <w:rPr>
          <w:rFonts w:ascii="Yu Gothic" w:eastAsia="Yu Gothic" w:hAnsi="Yu Gothic"/>
        </w:rPr>
        <w:t xml:space="preserve">Eversource received the Draft Memo on </w:t>
      </w:r>
      <w:r w:rsidR="008357C2">
        <w:rPr>
          <w:rFonts w:ascii="Yu Gothic" w:eastAsia="Yu Gothic" w:hAnsi="Yu Gothic"/>
        </w:rPr>
        <w:t>May 27, 2022</w:t>
      </w:r>
      <w:r w:rsidR="00F25B36" w:rsidRPr="00A96953">
        <w:rPr>
          <w:rFonts w:ascii="Yu Gothic" w:eastAsia="Yu Gothic" w:hAnsi="Yu Gothic"/>
        </w:rPr>
        <w:t xml:space="preserve">, with a request to provide comments by </w:t>
      </w:r>
      <w:r w:rsidR="008357C2">
        <w:rPr>
          <w:rFonts w:ascii="Yu Gothic" w:eastAsia="Yu Gothic" w:hAnsi="Yu Gothic"/>
        </w:rPr>
        <w:t xml:space="preserve">either June 1 or June 2, 2022, yet this deadline was extended to June 6, 2022. </w:t>
      </w:r>
      <w:r w:rsidRPr="00A96953">
        <w:rPr>
          <w:rFonts w:ascii="Yu Gothic" w:eastAsia="Yu Gothic" w:hAnsi="Yu Gothic"/>
        </w:rPr>
        <w:t xml:space="preserve">Per the Energy Efficiency Board Evaluation Road Map Process, these comments are for consideration for inclusion in the Final </w:t>
      </w:r>
      <w:r w:rsidR="004F5FF7">
        <w:rPr>
          <w:rFonts w:ascii="Yu Gothic" w:eastAsia="Yu Gothic" w:hAnsi="Yu Gothic"/>
        </w:rPr>
        <w:t>Memo</w:t>
      </w:r>
      <w:r w:rsidRPr="00A96953">
        <w:rPr>
          <w:rFonts w:ascii="Yu Gothic" w:eastAsia="Yu Gothic" w:hAnsi="Yu Gothic"/>
        </w:rPr>
        <w:t>.</w:t>
      </w:r>
    </w:p>
    <w:p w14:paraId="39098EA1" w14:textId="0CB15001" w:rsidR="00A96953" w:rsidRDefault="00A96953" w:rsidP="00447A0E">
      <w:pPr>
        <w:contextualSpacing/>
        <w:rPr>
          <w:rFonts w:ascii="Yu Gothic" w:eastAsia="Yu Gothic" w:hAnsi="Yu Gothic"/>
        </w:rPr>
      </w:pPr>
    </w:p>
    <w:p w14:paraId="0956F1DC" w14:textId="2BF942A4" w:rsidR="005C0CD2" w:rsidRDefault="000B0165" w:rsidP="00447A0E">
      <w:pPr>
        <w:contextualSpacing/>
        <w:rPr>
          <w:rFonts w:ascii="Yu Gothic" w:eastAsia="Yu Gothic" w:hAnsi="Yu Gothic"/>
        </w:rPr>
      </w:pPr>
      <w:r>
        <w:rPr>
          <w:rFonts w:ascii="Yu Gothic" w:eastAsia="Yu Gothic" w:hAnsi="Yu Gothic"/>
        </w:rPr>
        <w:t xml:space="preserve">The objective of this study is to investigate </w:t>
      </w:r>
      <w:r w:rsidRPr="000B0165">
        <w:rPr>
          <w:rFonts w:ascii="Yu Gothic" w:eastAsia="Yu Gothic" w:hAnsi="Yu Gothic"/>
        </w:rPr>
        <w:t>savings opportunities around three key lighting-related themes: TLED to LED luminaire conversions, adding enhanced lighting controls capabilities to existing LEDs, and commissioning</w:t>
      </w:r>
      <w:r>
        <w:rPr>
          <w:rFonts w:ascii="Yu Gothic" w:eastAsia="Yu Gothic" w:hAnsi="Yu Gothic"/>
        </w:rPr>
        <w:t xml:space="preserve">. </w:t>
      </w:r>
      <w:r w:rsidRPr="000B0165">
        <w:rPr>
          <w:rFonts w:ascii="Yu Gothic" w:eastAsia="Yu Gothic" w:hAnsi="Yu Gothic"/>
        </w:rPr>
        <w:t>These topics were selected during the scoping phase of this effort based on feedback from the Connecticut Evaluation Committee and Evaluation Administrator Team. This report serves as one of the key deliverables as part of the Connecticut C2014 C&amp;I Lighting Saturation and Remaining Potential Study and presents key considerations for future program efforts.</w:t>
      </w:r>
    </w:p>
    <w:p w14:paraId="5CB4DC32" w14:textId="21705739" w:rsidR="00716013" w:rsidRDefault="00716013" w:rsidP="00447A0E">
      <w:pPr>
        <w:contextualSpacing/>
        <w:rPr>
          <w:rFonts w:ascii="Yu Gothic" w:eastAsia="Yu Gothic" w:hAnsi="Yu Gothic"/>
        </w:rPr>
      </w:pPr>
    </w:p>
    <w:p w14:paraId="6DCEFAD3" w14:textId="2D5FF624" w:rsidR="00716013" w:rsidRPr="00716013" w:rsidRDefault="00716013" w:rsidP="00447A0E">
      <w:pPr>
        <w:contextualSpacing/>
        <w:rPr>
          <w:rFonts w:ascii="Yu Gothic" w:eastAsia="Yu Gothic" w:hAnsi="Yu Gothic"/>
          <w:b/>
          <w:bCs/>
          <w:u w:val="single"/>
        </w:rPr>
      </w:pPr>
      <w:r w:rsidRPr="00716013">
        <w:rPr>
          <w:rFonts w:ascii="Yu Gothic" w:eastAsia="Yu Gothic" w:hAnsi="Yu Gothic"/>
          <w:b/>
          <w:bCs/>
          <w:u w:val="single"/>
        </w:rPr>
        <w:t>General Comments on Selected Presentation Findings</w:t>
      </w:r>
    </w:p>
    <w:p w14:paraId="76825C9D" w14:textId="3766F111" w:rsidR="003307DC" w:rsidRDefault="003307DC" w:rsidP="003307DC">
      <w:pPr>
        <w:autoSpaceDE w:val="0"/>
        <w:autoSpaceDN w:val="0"/>
        <w:adjustRightInd w:val="0"/>
        <w:spacing w:after="0" w:line="240" w:lineRule="auto"/>
        <w:rPr>
          <w:rFonts w:ascii="CIDFont+F1" w:hAnsi="CIDFont+F1" w:cs="CIDFont+F1"/>
        </w:rPr>
      </w:pPr>
      <w:r>
        <w:rPr>
          <w:rFonts w:ascii="CIDFont+F1" w:hAnsi="CIDFont+F1" w:cs="CIDFont+F1"/>
        </w:rPr>
        <w:t xml:space="preserve">Eversource appreciates the Evaluator’s efforts to </w:t>
      </w:r>
      <w:r w:rsidR="005B2413">
        <w:rPr>
          <w:rFonts w:ascii="CIDFont+F1" w:hAnsi="CIDFont+F1" w:cs="CIDFont+F1"/>
        </w:rPr>
        <w:t xml:space="preserve">investigate how Program Administrators (“PA”) can continue to generate savings within the lighting market. </w:t>
      </w:r>
      <w:r>
        <w:rPr>
          <w:rFonts w:ascii="CIDFont+F1" w:hAnsi="CIDFont+F1" w:cs="CIDFont+F1"/>
        </w:rPr>
        <w:t xml:space="preserve">Eversource anticipates incorporating the new information to be provided in the </w:t>
      </w:r>
      <w:r w:rsidR="00083080">
        <w:rPr>
          <w:rFonts w:ascii="CIDFont+F1" w:hAnsi="CIDFont+F1" w:cs="CIDFont+F1"/>
        </w:rPr>
        <w:t>F</w:t>
      </w:r>
      <w:r>
        <w:rPr>
          <w:rFonts w:ascii="CIDFont+F1" w:hAnsi="CIDFont+F1" w:cs="CIDFont+F1"/>
        </w:rPr>
        <w:t xml:space="preserve">inal </w:t>
      </w:r>
      <w:r w:rsidR="00083080">
        <w:rPr>
          <w:rFonts w:ascii="CIDFont+F1" w:hAnsi="CIDFont+F1" w:cs="CIDFont+F1"/>
        </w:rPr>
        <w:t xml:space="preserve">Memo </w:t>
      </w:r>
      <w:r>
        <w:rPr>
          <w:rFonts w:ascii="CIDFont+F1" w:hAnsi="CIDFont+F1" w:cs="CIDFont+F1"/>
        </w:rPr>
        <w:t>to implement program improvements.</w:t>
      </w:r>
    </w:p>
    <w:p w14:paraId="75050BF1" w14:textId="355CE3E9" w:rsidR="0055165F" w:rsidRPr="0055165F" w:rsidRDefault="0055165F" w:rsidP="00447A0E">
      <w:pPr>
        <w:contextualSpacing/>
        <w:rPr>
          <w:rFonts w:ascii="Yu Gothic" w:eastAsia="Yu Gothic" w:hAnsi="Yu Gothic"/>
          <w:b/>
          <w:bCs/>
          <w:u w:val="single"/>
        </w:rPr>
      </w:pPr>
      <w:r w:rsidRPr="0055165F">
        <w:rPr>
          <w:rFonts w:ascii="Yu Gothic" w:eastAsia="Yu Gothic" w:hAnsi="Yu Gothic"/>
          <w:b/>
          <w:bCs/>
          <w:u w:val="single"/>
        </w:rPr>
        <w:lastRenderedPageBreak/>
        <w:t>Comments on Methodology</w:t>
      </w:r>
    </w:p>
    <w:p w14:paraId="5A27E8F4" w14:textId="706E864A" w:rsidR="00B9608F" w:rsidRDefault="003D4277" w:rsidP="00447A0E">
      <w:pPr>
        <w:contextualSpacing/>
        <w:rPr>
          <w:rFonts w:ascii="Yu Gothic" w:eastAsia="Yu Gothic" w:hAnsi="Yu Gothic"/>
        </w:rPr>
      </w:pPr>
      <w:r>
        <w:rPr>
          <w:rFonts w:ascii="Yu Gothic" w:eastAsia="Yu Gothic" w:hAnsi="Yu Gothic"/>
        </w:rPr>
        <w:t xml:space="preserve">The Evaluator </w:t>
      </w:r>
      <w:r w:rsidR="000E235E">
        <w:rPr>
          <w:rFonts w:ascii="Yu Gothic" w:eastAsia="Yu Gothic" w:hAnsi="Yu Gothic"/>
        </w:rPr>
        <w:t xml:space="preserve">collected primary data </w:t>
      </w:r>
      <w:r w:rsidR="000E235E" w:rsidRPr="000E235E">
        <w:rPr>
          <w:rFonts w:ascii="Yu Gothic" w:eastAsia="Yu Gothic" w:hAnsi="Yu Gothic"/>
        </w:rPr>
        <w:t>from in-depth interviews (IDIs) with five lighting experts conducted in April and May 2022. The five lighting experts were selected with support from the Evaluation Administrators and represent independent consultants, product managers, and industry thought leaders with experience in EM&amp;V, implementation, product management, policy, utility EE programs, and trade associations. While these experts were asked about Connecticut specific topics, they bring knowledge from the national market and regional markets in the Pacific Northwest, California, Midwest, and the Northeast.</w:t>
      </w:r>
    </w:p>
    <w:p w14:paraId="2C4BC940" w14:textId="77777777" w:rsidR="00B9608F" w:rsidRDefault="00B9608F" w:rsidP="00447A0E">
      <w:pPr>
        <w:contextualSpacing/>
        <w:rPr>
          <w:rFonts w:ascii="Yu Gothic" w:eastAsia="Yu Gothic" w:hAnsi="Yu Gothic"/>
        </w:rPr>
      </w:pPr>
    </w:p>
    <w:p w14:paraId="1388B36A" w14:textId="22EBAF04" w:rsidR="00A31B1D" w:rsidRDefault="000E235E" w:rsidP="00447A0E">
      <w:pPr>
        <w:contextualSpacing/>
        <w:rPr>
          <w:rFonts w:ascii="Yu Gothic" w:eastAsia="Yu Gothic" w:hAnsi="Yu Gothic"/>
        </w:rPr>
      </w:pPr>
      <w:r>
        <w:rPr>
          <w:rFonts w:ascii="Yu Gothic" w:eastAsia="Yu Gothic" w:hAnsi="Yu Gothic"/>
        </w:rPr>
        <w:t xml:space="preserve">Eversource finds the study methodology to be appropriate yet would like to comment on </w:t>
      </w:r>
      <w:r w:rsidR="00A31B1D">
        <w:rPr>
          <w:rFonts w:ascii="Yu Gothic" w:eastAsia="Yu Gothic" w:hAnsi="Yu Gothic"/>
        </w:rPr>
        <w:t xml:space="preserve">the Evaluator’s plan to conduct </w:t>
      </w:r>
      <w:r w:rsidR="00A31B1D" w:rsidRPr="00A31B1D">
        <w:rPr>
          <w:rFonts w:ascii="Yu Gothic" w:eastAsia="Yu Gothic" w:hAnsi="Yu Gothic"/>
        </w:rPr>
        <w:t>customer surveys to estimate net-to-gross (NTG) ratios as part of the C2014 study to help understand where lighting programs have a higher influence in continuing to transform the C&amp;I lighting market in Connecticut</w:t>
      </w:r>
      <w:r w:rsidR="00A31B1D">
        <w:rPr>
          <w:rFonts w:ascii="Yu Gothic" w:eastAsia="Yu Gothic" w:hAnsi="Yu Gothic"/>
        </w:rPr>
        <w:t xml:space="preserve">. </w:t>
      </w:r>
      <w:r w:rsidR="00954453">
        <w:rPr>
          <w:rFonts w:ascii="Yu Gothic" w:eastAsia="Yu Gothic" w:hAnsi="Yu Gothic"/>
        </w:rPr>
        <w:t xml:space="preserve">The Final Memo should note that program data </w:t>
      </w:r>
      <w:r w:rsidR="00C82C24">
        <w:rPr>
          <w:rFonts w:ascii="Yu Gothic" w:eastAsia="Yu Gothic" w:hAnsi="Yu Gothic"/>
        </w:rPr>
        <w:t xml:space="preserve">was requested by the Evaluator and submitted </w:t>
      </w:r>
      <w:r w:rsidR="00954453">
        <w:rPr>
          <w:rFonts w:ascii="Yu Gothic" w:eastAsia="Yu Gothic" w:hAnsi="Yu Gothic"/>
        </w:rPr>
        <w:t xml:space="preserve">for this purpose. </w:t>
      </w:r>
    </w:p>
    <w:p w14:paraId="5ED03BAC" w14:textId="77777777" w:rsidR="000E235E" w:rsidRDefault="000E235E" w:rsidP="00447A0E">
      <w:pPr>
        <w:contextualSpacing/>
        <w:rPr>
          <w:rFonts w:ascii="Yu Gothic" w:eastAsia="Yu Gothic" w:hAnsi="Yu Gothic"/>
        </w:rPr>
      </w:pPr>
    </w:p>
    <w:p w14:paraId="6309D955" w14:textId="1C36143E" w:rsidR="003A44B2" w:rsidRPr="00A118BE" w:rsidRDefault="00A118BE" w:rsidP="00447A0E">
      <w:pPr>
        <w:contextualSpacing/>
        <w:rPr>
          <w:rFonts w:ascii="Yu Gothic" w:eastAsia="Yu Gothic" w:hAnsi="Yu Gothic"/>
          <w:b/>
          <w:bCs/>
          <w:u w:val="single"/>
        </w:rPr>
      </w:pPr>
      <w:r w:rsidRPr="00A118BE">
        <w:rPr>
          <w:rFonts w:ascii="Yu Gothic" w:eastAsia="Yu Gothic" w:hAnsi="Yu Gothic"/>
          <w:b/>
          <w:bCs/>
          <w:u w:val="single"/>
        </w:rPr>
        <w:t>Comments and Questions</w:t>
      </w:r>
    </w:p>
    <w:p w14:paraId="739D0FB1" w14:textId="507A78CE" w:rsidR="00A118BE" w:rsidRDefault="002669C5" w:rsidP="00447A0E">
      <w:pPr>
        <w:contextualSpacing/>
        <w:rPr>
          <w:rFonts w:ascii="Yu Gothic" w:eastAsia="Yu Gothic" w:hAnsi="Yu Gothic"/>
        </w:rPr>
      </w:pPr>
      <w:r>
        <w:rPr>
          <w:rFonts w:ascii="Yu Gothic" w:eastAsia="Yu Gothic" w:hAnsi="Yu Gothic"/>
        </w:rPr>
        <w:t>Eversource has the following comments and questions.</w:t>
      </w:r>
    </w:p>
    <w:p w14:paraId="05795D7E" w14:textId="1C045868" w:rsidR="00DD061A" w:rsidRDefault="00DD061A" w:rsidP="00447A0E">
      <w:pPr>
        <w:contextualSpacing/>
        <w:rPr>
          <w:rFonts w:ascii="Yu Gothic" w:eastAsia="Yu Gothic" w:hAnsi="Yu Gothic"/>
        </w:rPr>
      </w:pPr>
    </w:p>
    <w:p w14:paraId="6DC05902" w14:textId="517FB03C" w:rsidR="00DD061A" w:rsidRDefault="00DD061A" w:rsidP="00447A0E">
      <w:pPr>
        <w:contextualSpacing/>
        <w:rPr>
          <w:rFonts w:ascii="Yu Gothic" w:eastAsia="Yu Gothic" w:hAnsi="Yu Gothic"/>
        </w:rPr>
      </w:pPr>
      <w:r w:rsidRPr="00DD061A">
        <w:rPr>
          <w:rFonts w:ascii="Yu Gothic" w:eastAsia="Yu Gothic" w:hAnsi="Yu Gothic"/>
          <w:b/>
          <w:bCs/>
        </w:rPr>
        <w:t>TLED to LED Luminaire Conversions</w:t>
      </w:r>
      <w:r>
        <w:rPr>
          <w:rFonts w:ascii="Yu Gothic" w:eastAsia="Yu Gothic" w:hAnsi="Yu Gothic"/>
        </w:rPr>
        <w:t xml:space="preserve">: Consideration 1 in the Draft Memo mentions that PAs </w:t>
      </w:r>
      <w:r w:rsidR="008D2FC8">
        <w:rPr>
          <w:rFonts w:ascii="Yu Gothic" w:eastAsia="Yu Gothic" w:hAnsi="Yu Gothic"/>
        </w:rPr>
        <w:t>“</w:t>
      </w:r>
      <w:r w:rsidRPr="00DD061A">
        <w:rPr>
          <w:rFonts w:ascii="Yu Gothic" w:eastAsia="Yu Gothic" w:hAnsi="Yu Gothic"/>
        </w:rPr>
        <w:t>should consider removing the incentives for TLEDs and focusing on LED luminaires, especially those with more advanced lighting controls capabilities like in luminaire-level lighting controls (LLLC) and networked lighting controls (NLC).</w:t>
      </w:r>
      <w:r w:rsidR="008D2FC8">
        <w:rPr>
          <w:rFonts w:ascii="Yu Gothic" w:eastAsia="Yu Gothic" w:hAnsi="Yu Gothic"/>
        </w:rPr>
        <w:t>”</w:t>
      </w:r>
      <w:r w:rsidRPr="00DD061A">
        <w:rPr>
          <w:rFonts w:ascii="Yu Gothic" w:eastAsia="Yu Gothic" w:hAnsi="Yu Gothic"/>
        </w:rPr>
        <w:t xml:space="preserve">  </w:t>
      </w:r>
      <w:r w:rsidR="00551028">
        <w:rPr>
          <w:rFonts w:ascii="Yu Gothic" w:eastAsia="Yu Gothic" w:hAnsi="Yu Gothic"/>
        </w:rPr>
        <w:t xml:space="preserve">Eversource has the following questions pertaining to Consideration 1: </w:t>
      </w:r>
    </w:p>
    <w:p w14:paraId="3630D845" w14:textId="44FF2430" w:rsidR="00551028" w:rsidRDefault="00551028" w:rsidP="00551028">
      <w:pPr>
        <w:pStyle w:val="ListParagraph"/>
        <w:numPr>
          <w:ilvl w:val="0"/>
          <w:numId w:val="5"/>
        </w:numPr>
        <w:ind w:left="360"/>
        <w:rPr>
          <w:rFonts w:ascii="Yu Gothic" w:eastAsia="Yu Gothic" w:hAnsi="Yu Gothic"/>
        </w:rPr>
      </w:pPr>
      <w:r w:rsidRPr="00551028">
        <w:rPr>
          <w:rFonts w:ascii="Yu Gothic" w:eastAsia="Yu Gothic" w:hAnsi="Yu Gothic"/>
        </w:rPr>
        <w:t>What timeline do</w:t>
      </w:r>
      <w:r>
        <w:rPr>
          <w:rFonts w:ascii="Yu Gothic" w:eastAsia="Yu Gothic" w:hAnsi="Yu Gothic"/>
        </w:rPr>
        <w:t>es</w:t>
      </w:r>
      <w:r w:rsidRPr="00551028">
        <w:rPr>
          <w:rFonts w:ascii="Yu Gothic" w:eastAsia="Yu Gothic" w:hAnsi="Yu Gothic"/>
        </w:rPr>
        <w:t xml:space="preserve"> the Evaluators recommend this phase</w:t>
      </w:r>
      <w:r>
        <w:rPr>
          <w:rFonts w:ascii="Yu Gothic" w:eastAsia="Yu Gothic" w:hAnsi="Yu Gothic"/>
        </w:rPr>
        <w:t>-</w:t>
      </w:r>
      <w:r w:rsidRPr="00551028">
        <w:rPr>
          <w:rFonts w:ascii="Yu Gothic" w:eastAsia="Yu Gothic" w:hAnsi="Yu Gothic"/>
        </w:rPr>
        <w:t xml:space="preserve">out </w:t>
      </w:r>
      <w:r>
        <w:rPr>
          <w:rFonts w:ascii="Yu Gothic" w:eastAsia="Yu Gothic" w:hAnsi="Yu Gothic"/>
        </w:rPr>
        <w:t xml:space="preserve">to </w:t>
      </w:r>
      <w:r w:rsidRPr="00551028">
        <w:rPr>
          <w:rFonts w:ascii="Yu Gothic" w:eastAsia="Yu Gothic" w:hAnsi="Yu Gothic"/>
        </w:rPr>
        <w:t xml:space="preserve">occur? Also, how would that timeline apply to different programs (e.g., midstream, downstream, custom, direct install)? </w:t>
      </w:r>
    </w:p>
    <w:p w14:paraId="1AA3E70B" w14:textId="77777777" w:rsidR="00551028" w:rsidRDefault="00551028" w:rsidP="00551028">
      <w:pPr>
        <w:pStyle w:val="ListParagraph"/>
        <w:numPr>
          <w:ilvl w:val="0"/>
          <w:numId w:val="5"/>
        </w:numPr>
        <w:ind w:left="360"/>
        <w:rPr>
          <w:rFonts w:ascii="Yu Gothic" w:eastAsia="Yu Gothic" w:hAnsi="Yu Gothic"/>
        </w:rPr>
      </w:pPr>
      <w:r w:rsidRPr="00551028">
        <w:rPr>
          <w:rFonts w:ascii="Yu Gothic" w:eastAsia="Yu Gothic" w:hAnsi="Yu Gothic"/>
        </w:rPr>
        <w:t>There are programs that offer TLEDs with controls. Does the Evaluator recommend those measures be removed as well?</w:t>
      </w:r>
    </w:p>
    <w:p w14:paraId="45A77319" w14:textId="77777777" w:rsidR="00551028" w:rsidRDefault="00551028" w:rsidP="00551028">
      <w:pPr>
        <w:pStyle w:val="ListParagraph"/>
        <w:numPr>
          <w:ilvl w:val="0"/>
          <w:numId w:val="5"/>
        </w:numPr>
        <w:ind w:left="360"/>
        <w:rPr>
          <w:rFonts w:ascii="Yu Gothic" w:eastAsia="Yu Gothic" w:hAnsi="Yu Gothic"/>
        </w:rPr>
      </w:pPr>
      <w:r w:rsidRPr="00551028">
        <w:rPr>
          <w:rFonts w:ascii="Yu Gothic" w:eastAsia="Yu Gothic" w:hAnsi="Yu Gothic"/>
        </w:rPr>
        <w:t>Do the Evaluator’s recommendations to stop incentivizing TLEDs apply to all types of TLEDs (e.g., Type B)?</w:t>
      </w:r>
    </w:p>
    <w:p w14:paraId="5CBD3D30" w14:textId="281195AA" w:rsidR="00551028" w:rsidRPr="00551028" w:rsidRDefault="00551028" w:rsidP="00551028">
      <w:pPr>
        <w:pStyle w:val="ListParagraph"/>
        <w:numPr>
          <w:ilvl w:val="0"/>
          <w:numId w:val="5"/>
        </w:numPr>
        <w:ind w:left="360"/>
        <w:rPr>
          <w:rFonts w:ascii="Yu Gothic" w:eastAsia="Yu Gothic" w:hAnsi="Yu Gothic"/>
        </w:rPr>
      </w:pPr>
      <w:r w:rsidRPr="00551028">
        <w:rPr>
          <w:rFonts w:ascii="Yu Gothic" w:eastAsia="Yu Gothic" w:hAnsi="Yu Gothic"/>
        </w:rPr>
        <w:t>Can the Evaluator please elaborate on how the recommendation to remove incentives for TLEDs took into consideration impacts on environmental justice communities?</w:t>
      </w:r>
    </w:p>
    <w:p w14:paraId="41F66C94" w14:textId="1C6ACF5F" w:rsidR="0046443B" w:rsidRDefault="002B1785" w:rsidP="00447A0E">
      <w:pPr>
        <w:contextualSpacing/>
        <w:rPr>
          <w:rFonts w:ascii="Yu Gothic" w:eastAsia="Yu Gothic" w:hAnsi="Yu Gothic"/>
        </w:rPr>
      </w:pPr>
      <w:r w:rsidRPr="002B1785">
        <w:rPr>
          <w:rFonts w:ascii="Yu Gothic" w:eastAsia="Yu Gothic" w:hAnsi="Yu Gothic"/>
          <w:b/>
          <w:bCs/>
        </w:rPr>
        <w:lastRenderedPageBreak/>
        <w:t>Adding Controls to Existing LED Systems</w:t>
      </w:r>
      <w:r>
        <w:rPr>
          <w:rFonts w:ascii="Yu Gothic" w:eastAsia="Yu Gothic" w:hAnsi="Yu Gothic"/>
        </w:rPr>
        <w:t xml:space="preserve">: Consideration 3 states that </w:t>
      </w:r>
      <w:r w:rsidR="008D2FC8">
        <w:rPr>
          <w:rFonts w:ascii="Yu Gothic" w:eastAsia="Yu Gothic" w:hAnsi="Yu Gothic"/>
        </w:rPr>
        <w:t>“</w:t>
      </w:r>
      <w:r w:rsidRPr="002B1785">
        <w:rPr>
          <w:rFonts w:ascii="Yu Gothic" w:eastAsia="Yu Gothic" w:hAnsi="Yu Gothic"/>
        </w:rPr>
        <w:t>opportunities for adding controls to existing LED systems is extremely limited, so program administrators should consider focusing on integrating controls as part of all LED sales to minimize the stranded savings associated with LED only projects.</w:t>
      </w:r>
      <w:r w:rsidR="008D2FC8">
        <w:rPr>
          <w:rFonts w:ascii="Yu Gothic" w:eastAsia="Yu Gothic" w:hAnsi="Yu Gothic"/>
        </w:rPr>
        <w:t>”</w:t>
      </w:r>
      <w:r>
        <w:rPr>
          <w:rFonts w:ascii="Yu Gothic" w:eastAsia="Yu Gothic" w:hAnsi="Yu Gothic"/>
        </w:rPr>
        <w:t xml:space="preserve"> </w:t>
      </w:r>
      <w:r w:rsidR="0046443B">
        <w:rPr>
          <w:rFonts w:ascii="Yu Gothic" w:eastAsia="Yu Gothic" w:hAnsi="Yu Gothic"/>
        </w:rPr>
        <w:t xml:space="preserve">Yet how does this consideration reconcile that of Consideration 2: </w:t>
      </w:r>
      <w:r w:rsidR="008D2FC8">
        <w:rPr>
          <w:rFonts w:ascii="Yu Gothic" w:eastAsia="Yu Gothic" w:hAnsi="Yu Gothic"/>
        </w:rPr>
        <w:t>“</w:t>
      </w:r>
      <w:r w:rsidR="0046443B" w:rsidRPr="0046443B">
        <w:rPr>
          <w:rFonts w:ascii="Yu Gothic" w:eastAsia="Yu Gothic" w:hAnsi="Yu Gothic"/>
        </w:rPr>
        <w:t>Connecticut should consider conducting additional research to understand customer willingness to pay and the benefits associated with a program that would target replacing TLEDs with LLLCs or luminaires with NLC.</w:t>
      </w:r>
      <w:r w:rsidR="008D2FC8">
        <w:rPr>
          <w:rFonts w:ascii="Yu Gothic" w:eastAsia="Yu Gothic" w:hAnsi="Yu Gothic"/>
        </w:rPr>
        <w:t>”</w:t>
      </w:r>
      <w:r w:rsidR="0046443B">
        <w:rPr>
          <w:rFonts w:ascii="Yu Gothic" w:eastAsia="Yu Gothic" w:hAnsi="Yu Gothic"/>
        </w:rPr>
        <w:t xml:space="preserve"> </w:t>
      </w:r>
    </w:p>
    <w:p w14:paraId="2DE5D9A1" w14:textId="599BD7D2" w:rsidR="002669C5" w:rsidRPr="0046443B" w:rsidRDefault="0046443B" w:rsidP="0046443B">
      <w:pPr>
        <w:pStyle w:val="ListParagraph"/>
        <w:numPr>
          <w:ilvl w:val="0"/>
          <w:numId w:val="5"/>
        </w:numPr>
        <w:ind w:left="360"/>
        <w:rPr>
          <w:rFonts w:ascii="Yu Gothic" w:eastAsia="Yu Gothic" w:hAnsi="Yu Gothic"/>
        </w:rPr>
      </w:pPr>
      <w:r w:rsidRPr="0046443B">
        <w:rPr>
          <w:rFonts w:ascii="Yu Gothic" w:eastAsia="Yu Gothic" w:hAnsi="Yu Gothic"/>
        </w:rPr>
        <w:t xml:space="preserve">That is, the best opportunity to install an integrated control is when an LED is first installed, which would appear to be when switching from a TLED to an LED. Yet per Consideration 2, it’s unclear whether or not </w:t>
      </w:r>
      <w:r w:rsidR="00E36BC6">
        <w:rPr>
          <w:rFonts w:ascii="Yu Gothic" w:eastAsia="Yu Gothic" w:hAnsi="Yu Gothic"/>
        </w:rPr>
        <w:t xml:space="preserve">making such a switch </w:t>
      </w:r>
      <w:r w:rsidRPr="0046443B">
        <w:rPr>
          <w:rFonts w:ascii="Yu Gothic" w:eastAsia="Yu Gothic" w:hAnsi="Yu Gothic"/>
        </w:rPr>
        <w:t>is cost-effective.</w:t>
      </w:r>
    </w:p>
    <w:p w14:paraId="7AA240BC" w14:textId="77777777" w:rsidR="00B33EC1" w:rsidRDefault="00E36BC6" w:rsidP="00447A0E">
      <w:pPr>
        <w:contextualSpacing/>
        <w:rPr>
          <w:rFonts w:ascii="Yu Gothic" w:eastAsia="Yu Gothic" w:hAnsi="Yu Gothic"/>
        </w:rPr>
      </w:pPr>
      <w:r w:rsidRPr="00E36BC6">
        <w:rPr>
          <w:rFonts w:ascii="Yu Gothic" w:eastAsia="Yu Gothic" w:hAnsi="Yu Gothic"/>
          <w:b/>
          <w:bCs/>
        </w:rPr>
        <w:t>Request for Definitions</w:t>
      </w:r>
      <w:r>
        <w:rPr>
          <w:rFonts w:ascii="Yu Gothic" w:eastAsia="Yu Gothic" w:hAnsi="Yu Gothic"/>
        </w:rPr>
        <w:t xml:space="preserve">: </w:t>
      </w:r>
      <w:r w:rsidR="00516BEB">
        <w:rPr>
          <w:rFonts w:ascii="Yu Gothic" w:eastAsia="Yu Gothic" w:hAnsi="Yu Gothic"/>
        </w:rPr>
        <w:t xml:space="preserve">Eversource requests that the Final Memo </w:t>
      </w:r>
      <w:r w:rsidR="00516BEB" w:rsidRPr="00516BEB">
        <w:rPr>
          <w:rFonts w:ascii="Yu Gothic" w:eastAsia="Yu Gothic" w:hAnsi="Yu Gothic"/>
        </w:rPr>
        <w:t>include definitions (ideally from industry non-profits and independent third-parties) for</w:t>
      </w:r>
      <w:r w:rsidR="000D32A0">
        <w:rPr>
          <w:rFonts w:ascii="Yu Gothic" w:eastAsia="Yu Gothic" w:hAnsi="Yu Gothic"/>
        </w:rPr>
        <w:t xml:space="preserve"> the following: </w:t>
      </w:r>
      <w:r w:rsidR="00516BEB" w:rsidRPr="00516BEB">
        <w:rPr>
          <w:rFonts w:ascii="Yu Gothic" w:eastAsia="Yu Gothic" w:hAnsi="Yu Gothic"/>
        </w:rPr>
        <w:t>commissioning</w:t>
      </w:r>
      <w:r w:rsidR="000D32A0">
        <w:rPr>
          <w:rFonts w:ascii="Yu Gothic" w:eastAsia="Yu Gothic" w:hAnsi="Yu Gothic"/>
        </w:rPr>
        <w:t>,</w:t>
      </w:r>
      <w:r w:rsidR="00516BEB" w:rsidRPr="00516BEB">
        <w:rPr>
          <w:rFonts w:ascii="Yu Gothic" w:eastAsia="Yu Gothic" w:hAnsi="Yu Gothic"/>
        </w:rPr>
        <w:t xml:space="preserve"> retro-commissioning</w:t>
      </w:r>
      <w:r w:rsidR="000D32A0">
        <w:rPr>
          <w:rFonts w:ascii="Yu Gothic" w:eastAsia="Yu Gothic" w:hAnsi="Yu Gothic"/>
        </w:rPr>
        <w:t xml:space="preserve">, non-networked LLLCs, </w:t>
      </w:r>
      <w:r w:rsidR="007B2C89">
        <w:rPr>
          <w:rFonts w:ascii="Yu Gothic" w:eastAsia="Yu Gothic" w:hAnsi="Yu Gothic"/>
        </w:rPr>
        <w:t xml:space="preserve">and fixtures with integrated controls. </w:t>
      </w:r>
    </w:p>
    <w:p w14:paraId="0DD23F83" w14:textId="77777777" w:rsidR="00B33EC1" w:rsidRDefault="008D2FC8" w:rsidP="00B33EC1">
      <w:pPr>
        <w:pStyle w:val="ListParagraph"/>
        <w:numPr>
          <w:ilvl w:val="0"/>
          <w:numId w:val="5"/>
        </w:numPr>
        <w:ind w:left="360"/>
        <w:rPr>
          <w:rFonts w:ascii="Yu Gothic" w:eastAsia="Yu Gothic" w:hAnsi="Yu Gothic"/>
        </w:rPr>
      </w:pPr>
      <w:r w:rsidRPr="00B33EC1">
        <w:rPr>
          <w:rFonts w:ascii="Yu Gothic" w:eastAsia="Yu Gothic" w:hAnsi="Yu Gothic"/>
        </w:rPr>
        <w:t xml:space="preserve">Consideration 5 states that “as Program Administrators explore retro-commissioning programs, they should consider focusing on non-networked LLLCs and fixtures with integrated controls.” </w:t>
      </w:r>
      <w:r w:rsidR="00B33EC1" w:rsidRPr="00B33EC1">
        <w:rPr>
          <w:rFonts w:ascii="Yu Gothic" w:eastAsia="Yu Gothic" w:hAnsi="Yu Gothic"/>
        </w:rPr>
        <w:t xml:space="preserve">The current retro-commissioning program focuses on energy management systems, so </w:t>
      </w:r>
      <w:r w:rsidR="00B33EC1">
        <w:rPr>
          <w:rFonts w:ascii="Yu Gothic" w:eastAsia="Yu Gothic" w:hAnsi="Yu Gothic"/>
        </w:rPr>
        <w:t xml:space="preserve">in addition to definitions, </w:t>
      </w:r>
      <w:r w:rsidR="00B33EC1" w:rsidRPr="00B33EC1">
        <w:rPr>
          <w:rFonts w:ascii="Yu Gothic" w:eastAsia="Yu Gothic" w:hAnsi="Yu Gothic"/>
        </w:rPr>
        <w:t>it would be important to understand from the Evaluator how retro-commissioning for non-networked LLLCs and fixtures with integrated controls can be put into practice.</w:t>
      </w:r>
    </w:p>
    <w:p w14:paraId="408FA6C2" w14:textId="77777777" w:rsidR="00B33EC1" w:rsidRDefault="00B33EC1" w:rsidP="00B33EC1">
      <w:pPr>
        <w:rPr>
          <w:rFonts w:ascii="CIDFont+F1" w:eastAsia="CIDFont+F1" w:hAnsi="CIDFont+F1" w:cs="CIDFont+F1"/>
        </w:rPr>
      </w:pPr>
    </w:p>
    <w:p w14:paraId="72C6A34D" w14:textId="70F6A11C" w:rsidR="00DB5DCD" w:rsidRPr="00B33EC1" w:rsidRDefault="00DB5DCD" w:rsidP="00B33EC1">
      <w:pPr>
        <w:rPr>
          <w:rFonts w:ascii="Yu Gothic" w:eastAsia="Yu Gothic" w:hAnsi="Yu Gothic"/>
        </w:rPr>
      </w:pPr>
      <w:r w:rsidRPr="00B33EC1">
        <w:rPr>
          <w:rFonts w:ascii="CIDFont+F1" w:eastAsia="CIDFont+F1" w:hAnsi="CIDFont+F1" w:cs="CIDFont+F1" w:hint="eastAsia"/>
        </w:rPr>
        <w:t>Thank you for the opportunity to provide comments.</w:t>
      </w:r>
    </w:p>
    <w:p w14:paraId="4973B8A2" w14:textId="77777777" w:rsidR="00DB5DCD" w:rsidRPr="00284BE9" w:rsidRDefault="00DB5DCD" w:rsidP="00DB5DCD">
      <w:pPr>
        <w:spacing w:after="0"/>
        <w:rPr>
          <w:rFonts w:ascii="CIDFont+F1" w:eastAsia="CIDFont+F1"/>
        </w:rPr>
      </w:pPr>
    </w:p>
    <w:p w14:paraId="777EFBD6" w14:textId="77777777" w:rsidR="00DB5DCD" w:rsidRPr="00284BE9" w:rsidRDefault="00DB5DCD" w:rsidP="00DB5DCD">
      <w:pPr>
        <w:spacing w:after="0"/>
        <w:rPr>
          <w:rFonts w:ascii="CIDFont+F1" w:eastAsia="CIDFont+F1"/>
        </w:rPr>
      </w:pPr>
      <w:r w:rsidRPr="00284BE9">
        <w:rPr>
          <w:rFonts w:ascii="CIDFont+F1" w:eastAsia="CIDFont+F1" w:hint="eastAsia"/>
        </w:rPr>
        <w:t>Sincerely,</w:t>
      </w:r>
    </w:p>
    <w:p w14:paraId="5D902A8A" w14:textId="77777777" w:rsidR="00DB5DCD" w:rsidRPr="00040F48" w:rsidRDefault="00DB5DCD" w:rsidP="00DB5DCD">
      <w:pPr>
        <w:spacing w:after="0"/>
      </w:pPr>
    </w:p>
    <w:p w14:paraId="7EBCDC40" w14:textId="2CCAF2E0" w:rsidR="00DB5DCD" w:rsidRPr="00017B93" w:rsidRDefault="00DB5DCD" w:rsidP="00DB5DCD">
      <w:pPr>
        <w:spacing w:after="0"/>
        <w:rPr>
          <w:rFonts w:ascii="Brush Script MT" w:hAnsi="Brush Script MT" w:cs="Arial"/>
          <w:sz w:val="40"/>
        </w:rPr>
      </w:pPr>
      <w:r>
        <w:rPr>
          <w:rFonts w:ascii="Brush Script MT" w:hAnsi="Brush Script MT" w:cs="Arial"/>
          <w:sz w:val="40"/>
        </w:rPr>
        <w:t>Ignacio Obejero Paz</w:t>
      </w:r>
    </w:p>
    <w:p w14:paraId="2E5A8793" w14:textId="79D0AA4A" w:rsidR="00DB5DCD" w:rsidRPr="00040F48" w:rsidRDefault="0061506A" w:rsidP="00DB5DCD">
      <w:pPr>
        <w:autoSpaceDE w:val="0"/>
        <w:autoSpaceDN w:val="0"/>
        <w:adjustRightInd w:val="0"/>
        <w:spacing w:after="0" w:line="240" w:lineRule="auto"/>
      </w:pPr>
      <w:r>
        <w:t>Ignacio Obejero Paz</w:t>
      </w:r>
    </w:p>
    <w:p w14:paraId="620FE3D9" w14:textId="00D450DF" w:rsidR="00DB5DCD" w:rsidRDefault="00DB5DCD" w:rsidP="00DB5DCD">
      <w:pPr>
        <w:autoSpaceDE w:val="0"/>
        <w:autoSpaceDN w:val="0"/>
        <w:adjustRightInd w:val="0"/>
        <w:spacing w:after="0" w:line="240" w:lineRule="auto"/>
      </w:pPr>
      <w:r w:rsidRPr="00040F48">
        <w:t>Analyst, Evaluation | Energy Efficiency | Eversource</w:t>
      </w:r>
    </w:p>
    <w:p w14:paraId="16A4E6AF" w14:textId="1F865626" w:rsidR="00DB5DCD" w:rsidRPr="00040F48" w:rsidRDefault="00BF6401" w:rsidP="00DB5DCD">
      <w:pPr>
        <w:autoSpaceDE w:val="0"/>
        <w:autoSpaceDN w:val="0"/>
        <w:adjustRightInd w:val="0"/>
        <w:spacing w:after="0" w:line="240" w:lineRule="auto"/>
      </w:pPr>
      <w:hyperlink r:id="rId8" w:history="1">
        <w:r w:rsidR="00DB5DCD" w:rsidRPr="00610618">
          <w:rPr>
            <w:rStyle w:val="Hyperlink"/>
          </w:rPr>
          <w:t>Ignacio.obejeropaz@eversource.com</w:t>
        </w:r>
      </w:hyperlink>
      <w:r w:rsidR="00DB5DCD">
        <w:t xml:space="preserve"> </w:t>
      </w:r>
    </w:p>
    <w:p w14:paraId="45C75C95" w14:textId="77777777" w:rsidR="00DB5DCD" w:rsidRDefault="00DB5DCD" w:rsidP="00447A0E">
      <w:pPr>
        <w:contextualSpacing/>
        <w:rPr>
          <w:rFonts w:ascii="Yu Gothic" w:eastAsia="Yu Gothic" w:hAnsi="Yu Gothic"/>
        </w:rPr>
      </w:pPr>
    </w:p>
    <w:p w14:paraId="6C3225D0" w14:textId="77777777" w:rsidR="007E196C" w:rsidRPr="00A96953" w:rsidRDefault="007E196C" w:rsidP="00447A0E">
      <w:pPr>
        <w:contextualSpacing/>
        <w:rPr>
          <w:rFonts w:ascii="Yu Gothic" w:eastAsia="Yu Gothic" w:hAnsi="Yu Gothic"/>
        </w:rPr>
      </w:pPr>
    </w:p>
    <w:sectPr w:rsidR="007E196C" w:rsidRPr="00A96953" w:rsidSect="00B335C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DE0B" w14:textId="77777777" w:rsidR="002E7A2D" w:rsidRDefault="002E7A2D" w:rsidP="002E7A2D">
      <w:pPr>
        <w:spacing w:after="0" w:line="240" w:lineRule="auto"/>
      </w:pPr>
      <w:r>
        <w:separator/>
      </w:r>
    </w:p>
  </w:endnote>
  <w:endnote w:type="continuationSeparator" w:id="0">
    <w:p w14:paraId="3AF11069" w14:textId="77777777" w:rsidR="002E7A2D" w:rsidRDefault="002E7A2D" w:rsidP="002E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9868" w14:textId="77777777" w:rsidR="002E7A2D" w:rsidRDefault="002E7A2D" w:rsidP="002E7A2D">
      <w:pPr>
        <w:spacing w:after="0" w:line="240" w:lineRule="auto"/>
      </w:pPr>
      <w:r>
        <w:separator/>
      </w:r>
    </w:p>
  </w:footnote>
  <w:footnote w:type="continuationSeparator" w:id="0">
    <w:p w14:paraId="108D2D99" w14:textId="77777777" w:rsidR="002E7A2D" w:rsidRDefault="002E7A2D" w:rsidP="002E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CB84" w14:textId="461898F3" w:rsidR="00B335C5" w:rsidRDefault="00B335C5">
    <w:pPr>
      <w:pStyle w:val="Header"/>
    </w:pPr>
    <w:r>
      <w:rPr>
        <w:noProof/>
      </w:rPr>
      <w:drawing>
        <wp:anchor distT="0" distB="0" distL="114300" distR="114300" simplePos="0" relativeHeight="251659264" behindDoc="0" locked="0" layoutInCell="1" allowOverlap="1" wp14:anchorId="38B07BC8" wp14:editId="65896D30">
          <wp:simplePos x="0" y="0"/>
          <wp:positionH relativeFrom="column">
            <wp:posOffset>0</wp:posOffset>
          </wp:positionH>
          <wp:positionV relativeFrom="paragraph">
            <wp:posOffset>171450</wp:posOffset>
          </wp:positionV>
          <wp:extent cx="2140585" cy="323850"/>
          <wp:effectExtent l="0" t="0" r="0" b="0"/>
          <wp:wrapThrough wrapText="bothSides">
            <wp:wrapPolygon edited="0">
              <wp:start x="0" y="0"/>
              <wp:lineTo x="0" y="20329"/>
              <wp:lineTo x="21337" y="20329"/>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323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461C"/>
    <w:multiLevelType w:val="hybridMultilevel"/>
    <w:tmpl w:val="EEB6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00F95"/>
    <w:multiLevelType w:val="hybridMultilevel"/>
    <w:tmpl w:val="434E9900"/>
    <w:lvl w:ilvl="0" w:tplc="0BD069A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74109"/>
    <w:multiLevelType w:val="hybridMultilevel"/>
    <w:tmpl w:val="29644AAE"/>
    <w:lvl w:ilvl="0" w:tplc="39F82F34">
      <w:numFmt w:val="bullet"/>
      <w:lvlText w:val=""/>
      <w:lvlJc w:val="left"/>
      <w:pPr>
        <w:ind w:left="720" w:hanging="360"/>
      </w:pPr>
      <w:rPr>
        <w:rFonts w:ascii="Symbol" w:eastAsia="Yu Gothic"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336A7"/>
    <w:multiLevelType w:val="hybridMultilevel"/>
    <w:tmpl w:val="32266D44"/>
    <w:lvl w:ilvl="0" w:tplc="999A17AA">
      <w:numFmt w:val="bullet"/>
      <w:lvlText w:val=""/>
      <w:lvlJc w:val="left"/>
      <w:pPr>
        <w:ind w:left="720" w:hanging="360"/>
      </w:pPr>
      <w:rPr>
        <w:rFonts w:ascii="Symbol" w:eastAsia="Yu Gothic"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F4BAE"/>
    <w:multiLevelType w:val="hybridMultilevel"/>
    <w:tmpl w:val="1594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103128">
    <w:abstractNumId w:val="0"/>
  </w:num>
  <w:num w:numId="2" w16cid:durableId="376663880">
    <w:abstractNumId w:val="3"/>
  </w:num>
  <w:num w:numId="3" w16cid:durableId="1991320740">
    <w:abstractNumId w:val="4"/>
  </w:num>
  <w:num w:numId="4" w16cid:durableId="1499728422">
    <w:abstractNumId w:val="1"/>
  </w:num>
  <w:num w:numId="5" w16cid:durableId="147475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2D"/>
    <w:rsid w:val="00003757"/>
    <w:rsid w:val="00037853"/>
    <w:rsid w:val="00083080"/>
    <w:rsid w:val="00086916"/>
    <w:rsid w:val="000A4DFE"/>
    <w:rsid w:val="000B0165"/>
    <w:rsid w:val="000C3034"/>
    <w:rsid w:val="000C5CE2"/>
    <w:rsid w:val="000D32A0"/>
    <w:rsid w:val="000E08E2"/>
    <w:rsid w:val="000E235E"/>
    <w:rsid w:val="001103F9"/>
    <w:rsid w:val="001237B9"/>
    <w:rsid w:val="00124737"/>
    <w:rsid w:val="00130322"/>
    <w:rsid w:val="0013504E"/>
    <w:rsid w:val="00151F09"/>
    <w:rsid w:val="00152A64"/>
    <w:rsid w:val="00161AE1"/>
    <w:rsid w:val="00183B19"/>
    <w:rsid w:val="001862AF"/>
    <w:rsid w:val="001B46CA"/>
    <w:rsid w:val="001E5AC2"/>
    <w:rsid w:val="00215D72"/>
    <w:rsid w:val="002217DE"/>
    <w:rsid w:val="002321F7"/>
    <w:rsid w:val="0024684B"/>
    <w:rsid w:val="0026220F"/>
    <w:rsid w:val="002669C5"/>
    <w:rsid w:val="00271D04"/>
    <w:rsid w:val="0028102F"/>
    <w:rsid w:val="002B1785"/>
    <w:rsid w:val="002D5EF7"/>
    <w:rsid w:val="002E0184"/>
    <w:rsid w:val="002E4D86"/>
    <w:rsid w:val="002E7A2D"/>
    <w:rsid w:val="003307DC"/>
    <w:rsid w:val="00335B85"/>
    <w:rsid w:val="00345BEC"/>
    <w:rsid w:val="00367F6B"/>
    <w:rsid w:val="00383251"/>
    <w:rsid w:val="00386BBB"/>
    <w:rsid w:val="00387DDE"/>
    <w:rsid w:val="003A44B2"/>
    <w:rsid w:val="003B3503"/>
    <w:rsid w:val="003D4277"/>
    <w:rsid w:val="003D7496"/>
    <w:rsid w:val="003F193F"/>
    <w:rsid w:val="003F6A49"/>
    <w:rsid w:val="004067C9"/>
    <w:rsid w:val="004113CD"/>
    <w:rsid w:val="004417F3"/>
    <w:rsid w:val="00447A0E"/>
    <w:rsid w:val="0046443B"/>
    <w:rsid w:val="00465D9B"/>
    <w:rsid w:val="004715AA"/>
    <w:rsid w:val="00471CB9"/>
    <w:rsid w:val="00495CE3"/>
    <w:rsid w:val="004C428A"/>
    <w:rsid w:val="004C5249"/>
    <w:rsid w:val="004D586F"/>
    <w:rsid w:val="004D5E1E"/>
    <w:rsid w:val="004F5FF7"/>
    <w:rsid w:val="00504AAC"/>
    <w:rsid w:val="005145AC"/>
    <w:rsid w:val="00516BEB"/>
    <w:rsid w:val="0051718E"/>
    <w:rsid w:val="00525106"/>
    <w:rsid w:val="00540017"/>
    <w:rsid w:val="005500F5"/>
    <w:rsid w:val="00551028"/>
    <w:rsid w:val="0055165F"/>
    <w:rsid w:val="005726C5"/>
    <w:rsid w:val="005A51A6"/>
    <w:rsid w:val="005B2413"/>
    <w:rsid w:val="005C0CD2"/>
    <w:rsid w:val="005D29BC"/>
    <w:rsid w:val="005E61E3"/>
    <w:rsid w:val="00614E88"/>
    <w:rsid w:val="0061506A"/>
    <w:rsid w:val="006240A1"/>
    <w:rsid w:val="00632F88"/>
    <w:rsid w:val="0063635B"/>
    <w:rsid w:val="00641C95"/>
    <w:rsid w:val="00684B98"/>
    <w:rsid w:val="00686971"/>
    <w:rsid w:val="0069060C"/>
    <w:rsid w:val="006D1558"/>
    <w:rsid w:val="006E7413"/>
    <w:rsid w:val="006F644F"/>
    <w:rsid w:val="00705474"/>
    <w:rsid w:val="00712E1F"/>
    <w:rsid w:val="00716013"/>
    <w:rsid w:val="00725142"/>
    <w:rsid w:val="007262CA"/>
    <w:rsid w:val="00744F1F"/>
    <w:rsid w:val="00751EEF"/>
    <w:rsid w:val="00757440"/>
    <w:rsid w:val="00761326"/>
    <w:rsid w:val="0077025C"/>
    <w:rsid w:val="00776779"/>
    <w:rsid w:val="00795375"/>
    <w:rsid w:val="007B27DB"/>
    <w:rsid w:val="007B2C89"/>
    <w:rsid w:val="007B5C35"/>
    <w:rsid w:val="007D1363"/>
    <w:rsid w:val="007E196C"/>
    <w:rsid w:val="00806000"/>
    <w:rsid w:val="00824854"/>
    <w:rsid w:val="008357C2"/>
    <w:rsid w:val="00835F8C"/>
    <w:rsid w:val="00843737"/>
    <w:rsid w:val="00845D66"/>
    <w:rsid w:val="008A2170"/>
    <w:rsid w:val="008A3979"/>
    <w:rsid w:val="008C2771"/>
    <w:rsid w:val="008D2FC8"/>
    <w:rsid w:val="008E0EF1"/>
    <w:rsid w:val="008E6037"/>
    <w:rsid w:val="00924E80"/>
    <w:rsid w:val="00954453"/>
    <w:rsid w:val="009C0B88"/>
    <w:rsid w:val="009D39BA"/>
    <w:rsid w:val="009E3522"/>
    <w:rsid w:val="00A118BE"/>
    <w:rsid w:val="00A31B1D"/>
    <w:rsid w:val="00A5720A"/>
    <w:rsid w:val="00A740B2"/>
    <w:rsid w:val="00A96953"/>
    <w:rsid w:val="00AA2B77"/>
    <w:rsid w:val="00AC155D"/>
    <w:rsid w:val="00AE5451"/>
    <w:rsid w:val="00AE71E8"/>
    <w:rsid w:val="00B14466"/>
    <w:rsid w:val="00B14C8E"/>
    <w:rsid w:val="00B20CC7"/>
    <w:rsid w:val="00B25FA5"/>
    <w:rsid w:val="00B335C5"/>
    <w:rsid w:val="00B33EC1"/>
    <w:rsid w:val="00B3511C"/>
    <w:rsid w:val="00B355D0"/>
    <w:rsid w:val="00B5458F"/>
    <w:rsid w:val="00B70ED9"/>
    <w:rsid w:val="00B777AF"/>
    <w:rsid w:val="00B805C5"/>
    <w:rsid w:val="00B9608F"/>
    <w:rsid w:val="00BD123E"/>
    <w:rsid w:val="00BD3AB1"/>
    <w:rsid w:val="00BF037D"/>
    <w:rsid w:val="00BF370B"/>
    <w:rsid w:val="00BF6401"/>
    <w:rsid w:val="00C0073F"/>
    <w:rsid w:val="00C12BE4"/>
    <w:rsid w:val="00C1427B"/>
    <w:rsid w:val="00C36162"/>
    <w:rsid w:val="00C412D5"/>
    <w:rsid w:val="00C42E3A"/>
    <w:rsid w:val="00C56769"/>
    <w:rsid w:val="00C61ED4"/>
    <w:rsid w:val="00C62F6C"/>
    <w:rsid w:val="00C760D8"/>
    <w:rsid w:val="00C82C24"/>
    <w:rsid w:val="00C85C07"/>
    <w:rsid w:val="00C90F9C"/>
    <w:rsid w:val="00CC0373"/>
    <w:rsid w:val="00CC0597"/>
    <w:rsid w:val="00CC1CEC"/>
    <w:rsid w:val="00CF3E0B"/>
    <w:rsid w:val="00D352A6"/>
    <w:rsid w:val="00D36288"/>
    <w:rsid w:val="00D45D78"/>
    <w:rsid w:val="00D83B10"/>
    <w:rsid w:val="00D937BC"/>
    <w:rsid w:val="00DB5DCD"/>
    <w:rsid w:val="00DC5B8B"/>
    <w:rsid w:val="00DD061A"/>
    <w:rsid w:val="00DD6BA7"/>
    <w:rsid w:val="00E05BC9"/>
    <w:rsid w:val="00E07FEB"/>
    <w:rsid w:val="00E267B1"/>
    <w:rsid w:val="00E36BC6"/>
    <w:rsid w:val="00E374DC"/>
    <w:rsid w:val="00E40998"/>
    <w:rsid w:val="00E4271A"/>
    <w:rsid w:val="00E44BC5"/>
    <w:rsid w:val="00E50F35"/>
    <w:rsid w:val="00E75A56"/>
    <w:rsid w:val="00EB3220"/>
    <w:rsid w:val="00EC461D"/>
    <w:rsid w:val="00EF68BF"/>
    <w:rsid w:val="00F25B36"/>
    <w:rsid w:val="00FB1DE6"/>
    <w:rsid w:val="00FB5820"/>
    <w:rsid w:val="00FD5AC7"/>
    <w:rsid w:val="00FD6C07"/>
    <w:rsid w:val="00FE5108"/>
    <w:rsid w:val="00FE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4EDF"/>
  <w15:chartTrackingRefBased/>
  <w15:docId w15:val="{6524C6CC-8B9F-4A68-A72D-C9DA00D2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DCD"/>
    <w:rPr>
      <w:color w:val="0563C1" w:themeColor="hyperlink"/>
      <w:u w:val="single"/>
    </w:rPr>
  </w:style>
  <w:style w:type="character" w:styleId="UnresolvedMention">
    <w:name w:val="Unresolved Mention"/>
    <w:basedOn w:val="DefaultParagraphFont"/>
    <w:uiPriority w:val="99"/>
    <w:semiHidden/>
    <w:unhideWhenUsed/>
    <w:rsid w:val="00DB5DCD"/>
    <w:rPr>
      <w:color w:val="605E5C"/>
      <w:shd w:val="clear" w:color="auto" w:fill="E1DFDD"/>
    </w:rPr>
  </w:style>
  <w:style w:type="paragraph" w:styleId="ListParagraph">
    <w:name w:val="List Paragraph"/>
    <w:basedOn w:val="Normal"/>
    <w:uiPriority w:val="34"/>
    <w:qFormat/>
    <w:rsid w:val="00D36288"/>
    <w:pPr>
      <w:ind w:left="720"/>
      <w:contextualSpacing/>
    </w:pPr>
  </w:style>
  <w:style w:type="character" w:styleId="CommentReference">
    <w:name w:val="annotation reference"/>
    <w:basedOn w:val="DefaultParagraphFont"/>
    <w:uiPriority w:val="99"/>
    <w:semiHidden/>
    <w:unhideWhenUsed/>
    <w:rsid w:val="00367F6B"/>
    <w:rPr>
      <w:sz w:val="16"/>
      <w:szCs w:val="16"/>
    </w:rPr>
  </w:style>
  <w:style w:type="paragraph" w:styleId="CommentText">
    <w:name w:val="annotation text"/>
    <w:basedOn w:val="Normal"/>
    <w:link w:val="CommentTextChar"/>
    <w:uiPriority w:val="99"/>
    <w:semiHidden/>
    <w:unhideWhenUsed/>
    <w:rsid w:val="00367F6B"/>
    <w:pPr>
      <w:spacing w:line="240" w:lineRule="auto"/>
    </w:pPr>
    <w:rPr>
      <w:sz w:val="20"/>
      <w:szCs w:val="20"/>
    </w:rPr>
  </w:style>
  <w:style w:type="character" w:customStyle="1" w:styleId="CommentTextChar">
    <w:name w:val="Comment Text Char"/>
    <w:basedOn w:val="DefaultParagraphFont"/>
    <w:link w:val="CommentText"/>
    <w:uiPriority w:val="99"/>
    <w:semiHidden/>
    <w:rsid w:val="00367F6B"/>
    <w:rPr>
      <w:sz w:val="20"/>
      <w:szCs w:val="20"/>
    </w:rPr>
  </w:style>
  <w:style w:type="paragraph" w:styleId="CommentSubject">
    <w:name w:val="annotation subject"/>
    <w:basedOn w:val="CommentText"/>
    <w:next w:val="CommentText"/>
    <w:link w:val="CommentSubjectChar"/>
    <w:uiPriority w:val="99"/>
    <w:semiHidden/>
    <w:unhideWhenUsed/>
    <w:rsid w:val="00367F6B"/>
    <w:rPr>
      <w:b/>
      <w:bCs/>
    </w:rPr>
  </w:style>
  <w:style w:type="character" w:customStyle="1" w:styleId="CommentSubjectChar">
    <w:name w:val="Comment Subject Char"/>
    <w:basedOn w:val="CommentTextChar"/>
    <w:link w:val="CommentSubject"/>
    <w:uiPriority w:val="99"/>
    <w:semiHidden/>
    <w:rsid w:val="00367F6B"/>
    <w:rPr>
      <w:b/>
      <w:bCs/>
      <w:sz w:val="20"/>
      <w:szCs w:val="20"/>
    </w:rPr>
  </w:style>
  <w:style w:type="paragraph" w:styleId="Header">
    <w:name w:val="header"/>
    <w:basedOn w:val="Normal"/>
    <w:link w:val="HeaderChar"/>
    <w:uiPriority w:val="99"/>
    <w:unhideWhenUsed/>
    <w:rsid w:val="00B33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5C5"/>
  </w:style>
  <w:style w:type="paragraph" w:styleId="Footer">
    <w:name w:val="footer"/>
    <w:basedOn w:val="Normal"/>
    <w:link w:val="FooterChar"/>
    <w:uiPriority w:val="99"/>
    <w:unhideWhenUsed/>
    <w:rsid w:val="00B33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C5"/>
  </w:style>
  <w:style w:type="paragraph" w:styleId="FootnoteText">
    <w:name w:val="footnote text"/>
    <w:basedOn w:val="Normal"/>
    <w:link w:val="FootnoteTextChar"/>
    <w:uiPriority w:val="99"/>
    <w:semiHidden/>
    <w:unhideWhenUsed/>
    <w:rsid w:val="00215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D72"/>
    <w:rPr>
      <w:sz w:val="20"/>
      <w:szCs w:val="20"/>
    </w:rPr>
  </w:style>
  <w:style w:type="character" w:styleId="FootnoteReference">
    <w:name w:val="footnote reference"/>
    <w:basedOn w:val="DefaultParagraphFont"/>
    <w:uiPriority w:val="99"/>
    <w:semiHidden/>
    <w:unhideWhenUsed/>
    <w:rsid w:val="00215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cio.obejeropaz@eversour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72C0-F71B-4E25-8F09-6FEB6FAC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EVERSOURCE</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Obejero Paz, Ignacio</dc:creator>
  <cp:keywords/>
  <dc:description/>
  <cp:lastModifiedBy>Emily Rice</cp:lastModifiedBy>
  <cp:revision>2</cp:revision>
  <dcterms:created xsi:type="dcterms:W3CDTF">2022-08-03T17:37:00Z</dcterms:created>
  <dcterms:modified xsi:type="dcterms:W3CDTF">2022-08-03T17:37:00Z</dcterms:modified>
</cp:coreProperties>
</file>